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44" w:rsidRPr="006872B2" w:rsidRDefault="00927944" w:rsidP="00927944">
      <w:pPr>
        <w:snapToGrid w:val="0"/>
        <w:spacing w:afterLines="50" w:line="320" w:lineRule="atLeast"/>
        <w:jc w:val="center"/>
        <w:rPr>
          <w:rFonts w:hint="eastAsia"/>
          <w:b/>
          <w:sz w:val="32"/>
          <w:szCs w:val="32"/>
        </w:rPr>
      </w:pPr>
      <w:r>
        <w:rPr>
          <w:rFonts w:hint="eastAsia"/>
          <w:b/>
          <w:sz w:val="32"/>
          <w:szCs w:val="32"/>
        </w:rPr>
        <w:t>《逻辑哲学研究》</w:t>
      </w:r>
      <w:r w:rsidRPr="006872B2">
        <w:rPr>
          <w:rFonts w:hint="eastAsia"/>
          <w:b/>
          <w:sz w:val="32"/>
          <w:szCs w:val="32"/>
        </w:rPr>
        <w:t>序言</w:t>
      </w:r>
    </w:p>
    <w:p w:rsidR="00927944" w:rsidRDefault="00927944" w:rsidP="00927944">
      <w:pPr>
        <w:snapToGrid w:val="0"/>
        <w:spacing w:line="320" w:lineRule="atLeast"/>
        <w:rPr>
          <w:rFonts w:hint="eastAsia"/>
        </w:rPr>
      </w:pPr>
    </w:p>
    <w:p w:rsidR="00927944" w:rsidRDefault="00927944" w:rsidP="00927944">
      <w:pPr>
        <w:snapToGrid w:val="0"/>
        <w:spacing w:line="320" w:lineRule="atLeast"/>
        <w:rPr>
          <w:rFonts w:hint="eastAsia"/>
        </w:rPr>
      </w:pPr>
    </w:p>
    <w:p w:rsidR="00927944" w:rsidRDefault="00927944" w:rsidP="00927944">
      <w:pPr>
        <w:snapToGrid w:val="0"/>
        <w:spacing w:line="320" w:lineRule="atLeast"/>
        <w:ind w:firstLineChars="200" w:firstLine="420"/>
        <w:rPr>
          <w:rFonts w:hint="eastAsia"/>
        </w:rPr>
      </w:pPr>
      <w:r>
        <w:rPr>
          <w:rFonts w:hint="eastAsia"/>
        </w:rPr>
        <w:t>本书是在《逻辑哲学导论》（中国人民大学出版社，</w:t>
      </w:r>
      <w:r>
        <w:rPr>
          <w:rFonts w:hint="eastAsia"/>
        </w:rPr>
        <w:t>2000</w:t>
      </w:r>
      <w:r>
        <w:rPr>
          <w:rFonts w:hint="eastAsia"/>
        </w:rPr>
        <w:t>年）的基础上增订而成。在《逻辑哲学导论》序言中，我曾写道：“</w:t>
      </w:r>
      <w:r>
        <w:rPr>
          <w:rFonts w:ascii="宋体" w:hAnsi="宋体" w:hint="eastAsia"/>
        </w:rPr>
        <w:t>写作此书时，我已年逾不惑，人到中年。中年应该是一个人学术上趋于成熟的年龄。因此，写出一部在学术上比较成熟、不愧对中年的书，一部经得起时间检验、不会在若干年后为之脸红的书，就成为我写作伊始所立下的宏愿和在写作过程中时时悬之于心的鹄的。</w:t>
      </w:r>
      <w:r>
        <w:rPr>
          <w:rFonts w:hint="eastAsia"/>
        </w:rPr>
        <w:t>”</w:t>
      </w:r>
      <w:r>
        <w:rPr>
          <w:rFonts w:hint="eastAsia"/>
        </w:rPr>
        <w:t>2012</w:t>
      </w:r>
      <w:r>
        <w:rPr>
          <w:rFonts w:hint="eastAsia"/>
        </w:rPr>
        <w:t>年</w:t>
      </w:r>
      <w:r>
        <w:rPr>
          <w:rFonts w:hint="eastAsia"/>
        </w:rPr>
        <w:t>6</w:t>
      </w:r>
      <w:r>
        <w:rPr>
          <w:rFonts w:hint="eastAsia"/>
        </w:rPr>
        <w:t>月</w:t>
      </w:r>
      <w:r>
        <w:rPr>
          <w:rFonts w:hint="eastAsia"/>
        </w:rPr>
        <w:t>23</w:t>
      </w:r>
      <w:r>
        <w:rPr>
          <w:rFonts w:hint="eastAsia"/>
        </w:rPr>
        <w:t>日，在本书第一版出版</w:t>
      </w:r>
      <w:r>
        <w:rPr>
          <w:rFonts w:hint="eastAsia"/>
        </w:rPr>
        <w:t>12</w:t>
      </w:r>
      <w:r>
        <w:rPr>
          <w:rFonts w:hint="eastAsia"/>
        </w:rPr>
        <w:t>年之后，南京大学一位友人通过电子邮件给我发过来下面的表格，后经查证，该表出自苏新宁主编的《中国人文社会科学图书学术影响力报告》（中国社会科学出版社，</w:t>
      </w:r>
      <w:r>
        <w:rPr>
          <w:rFonts w:hint="eastAsia"/>
        </w:rPr>
        <w:t>2011</w:t>
      </w:r>
      <w:r>
        <w:rPr>
          <w:rFonts w:hint="eastAsia"/>
        </w:rPr>
        <w:t>年</w:t>
      </w:r>
      <w:r>
        <w:rPr>
          <w:rFonts w:hint="eastAsia"/>
        </w:rPr>
        <w:t>11</w:t>
      </w:r>
      <w:r>
        <w:rPr>
          <w:rFonts w:hint="eastAsia"/>
        </w:rPr>
        <w:t>月）一书第</w:t>
      </w:r>
      <w:r>
        <w:rPr>
          <w:rFonts w:hint="eastAsia"/>
        </w:rPr>
        <w:t>77-78</w:t>
      </w:r>
      <w:r>
        <w:rPr>
          <w:rFonts w:hint="eastAsia"/>
        </w:rPr>
        <w:t>页：</w:t>
      </w:r>
    </w:p>
    <w:p w:rsidR="00927944" w:rsidRPr="00052555" w:rsidRDefault="00927944" w:rsidP="00927944">
      <w:pPr>
        <w:snapToGrid w:val="0"/>
        <w:spacing w:beforeLines="50" w:line="320" w:lineRule="atLeast"/>
        <w:jc w:val="center"/>
        <w:rPr>
          <w:rFonts w:hint="eastAsia"/>
          <w:b/>
        </w:rPr>
      </w:pPr>
      <w:r w:rsidRPr="00052555">
        <w:rPr>
          <w:rFonts w:hint="eastAsia"/>
          <w:b/>
        </w:rPr>
        <w:t>国内学术著作对哲学研究的影响</w:t>
      </w:r>
    </w:p>
    <w:p w:rsidR="00927944" w:rsidRDefault="00927944" w:rsidP="00927944">
      <w:pPr>
        <w:snapToGrid w:val="0"/>
        <w:spacing w:beforeLines="50" w:afterLines="50" w:line="320" w:lineRule="atLeast"/>
        <w:ind w:firstLineChars="200" w:firstLine="420"/>
        <w:rPr>
          <w:rFonts w:hint="eastAsia"/>
        </w:rPr>
      </w:pPr>
      <w:r w:rsidRPr="009E5C30">
        <w:rPr>
          <w:rFonts w:hint="eastAsia"/>
        </w:rPr>
        <w:t>我国的哲学研究早在商周时期就已有许多作品出现，有关古代哲学文献已在本章</w:t>
      </w:r>
      <w:r w:rsidRPr="009E5C30">
        <w:rPr>
          <w:rFonts w:hint="eastAsia"/>
        </w:rPr>
        <w:t>3.3</w:t>
      </w:r>
      <w:r w:rsidRPr="009E5C30">
        <w:rPr>
          <w:rFonts w:hint="eastAsia"/>
        </w:rPr>
        <w:t>节做过相关介绍。本节推出的对我国哲学最有影响的国内学术著作为鸦片战争以后的成书的学术著作。随着新中国的成立与改革开放的发展，西方哲学在中国广泛传播，客观上促使哲学学者在前人的基础上，将中国传统哲学与西方哲学的精髓结合起来，大量哲学新著不断问世。本章选取的对我国哲学研究较有学术影响的</w:t>
      </w:r>
      <w:r w:rsidRPr="009E5C30">
        <w:rPr>
          <w:rFonts w:hint="eastAsia"/>
        </w:rPr>
        <w:t>263</w:t>
      </w:r>
      <w:r w:rsidRPr="009E5C30">
        <w:rPr>
          <w:rFonts w:hint="eastAsia"/>
        </w:rPr>
        <w:t>种著作中，国内学术著作达</w:t>
      </w:r>
      <w:r w:rsidRPr="009E5C30">
        <w:rPr>
          <w:rFonts w:hint="eastAsia"/>
        </w:rPr>
        <w:t>48</w:t>
      </w:r>
      <w:r w:rsidRPr="009E5C30">
        <w:rPr>
          <w:rFonts w:hint="eastAsia"/>
        </w:rPr>
        <w:t>种。表</w:t>
      </w:r>
      <w:r w:rsidRPr="009E5C30">
        <w:rPr>
          <w:rFonts w:hint="eastAsia"/>
        </w:rPr>
        <w:t>3-8</w:t>
      </w:r>
      <w:r w:rsidRPr="009E5C30">
        <w:rPr>
          <w:rFonts w:hint="eastAsia"/>
        </w:rPr>
        <w:t>给出了这些图书的详细目录。</w:t>
      </w:r>
    </w:p>
    <w:p w:rsidR="00927944" w:rsidRPr="009E5C30" w:rsidRDefault="00927944" w:rsidP="00927944">
      <w:pPr>
        <w:snapToGrid w:val="0"/>
        <w:spacing w:beforeLines="50" w:line="320" w:lineRule="atLeast"/>
        <w:ind w:firstLineChars="147" w:firstLine="266"/>
        <w:rPr>
          <w:rFonts w:hint="eastAsia"/>
          <w:b/>
          <w:sz w:val="18"/>
          <w:szCs w:val="18"/>
        </w:rPr>
      </w:pPr>
      <w:r w:rsidRPr="009E5C30">
        <w:rPr>
          <w:rFonts w:hint="eastAsia"/>
          <w:b/>
          <w:sz w:val="18"/>
          <w:szCs w:val="18"/>
        </w:rPr>
        <w:t>表</w:t>
      </w:r>
      <w:r w:rsidRPr="009E5C30">
        <w:rPr>
          <w:rFonts w:hint="eastAsia"/>
          <w:b/>
          <w:sz w:val="18"/>
          <w:szCs w:val="18"/>
        </w:rPr>
        <w:t xml:space="preserve">3-8                          </w:t>
      </w:r>
      <w:r w:rsidRPr="009E5C30">
        <w:rPr>
          <w:rFonts w:hint="eastAsia"/>
          <w:b/>
          <w:sz w:val="18"/>
          <w:szCs w:val="18"/>
        </w:rPr>
        <w:t>哲学论文引用较多的国内学术著作</w:t>
      </w:r>
    </w:p>
    <w:tbl>
      <w:tblPr>
        <w:tblW w:w="0" w:type="auto"/>
        <w:tblInd w:w="288" w:type="dxa"/>
        <w:tblBorders>
          <w:top w:val="single" w:sz="4" w:space="0" w:color="auto"/>
          <w:bottom w:val="single" w:sz="4" w:space="0" w:color="auto"/>
          <w:insideH w:val="single" w:sz="4" w:space="0" w:color="auto"/>
          <w:insideV w:val="single" w:sz="4" w:space="0" w:color="auto"/>
        </w:tblBorders>
        <w:tblLook w:val="01E0"/>
      </w:tblPr>
      <w:tblGrid>
        <w:gridCol w:w="720"/>
        <w:gridCol w:w="7200"/>
      </w:tblGrid>
      <w:tr w:rsidR="00927944" w:rsidRPr="009E5C30" w:rsidTr="006C516E">
        <w:tc>
          <w:tcPr>
            <w:tcW w:w="720" w:type="dxa"/>
            <w:tcBorders>
              <w:bottom w:val="single" w:sz="4" w:space="0" w:color="auto"/>
            </w:tcBorders>
          </w:tcPr>
          <w:p w:rsidR="00927944" w:rsidRPr="009E5C30" w:rsidRDefault="00927944" w:rsidP="006C516E">
            <w:pPr>
              <w:snapToGrid w:val="0"/>
              <w:spacing w:line="320" w:lineRule="atLeast"/>
              <w:jc w:val="center"/>
              <w:rPr>
                <w:rFonts w:ascii="宋体" w:hAnsi="宋体" w:hint="eastAsia"/>
                <w:b/>
                <w:sz w:val="18"/>
                <w:szCs w:val="18"/>
              </w:rPr>
            </w:pPr>
            <w:r w:rsidRPr="009E5C30">
              <w:rPr>
                <w:rFonts w:ascii="宋体" w:hAnsi="宋体" w:hint="eastAsia"/>
                <w:b/>
                <w:sz w:val="18"/>
                <w:szCs w:val="18"/>
              </w:rPr>
              <w:t>序号</w:t>
            </w:r>
          </w:p>
        </w:tc>
        <w:tc>
          <w:tcPr>
            <w:tcW w:w="7200" w:type="dxa"/>
            <w:tcBorders>
              <w:bottom w:val="single" w:sz="4" w:space="0" w:color="auto"/>
            </w:tcBorders>
          </w:tcPr>
          <w:p w:rsidR="00927944" w:rsidRPr="009E5C30" w:rsidRDefault="00927944" w:rsidP="006C516E">
            <w:pPr>
              <w:snapToGrid w:val="0"/>
              <w:spacing w:line="320" w:lineRule="atLeast"/>
              <w:jc w:val="center"/>
              <w:rPr>
                <w:rFonts w:ascii="宋体" w:hAnsi="宋体" w:hint="eastAsia"/>
                <w:b/>
                <w:sz w:val="18"/>
                <w:szCs w:val="18"/>
              </w:rPr>
            </w:pPr>
            <w:r w:rsidRPr="009E5C30">
              <w:rPr>
                <w:rFonts w:ascii="宋体" w:hAnsi="宋体" w:hint="eastAsia"/>
                <w:b/>
                <w:sz w:val="18"/>
                <w:szCs w:val="18"/>
              </w:rPr>
              <w:t>图书信息</w:t>
            </w:r>
          </w:p>
        </w:tc>
      </w:tr>
      <w:tr w:rsidR="00927944" w:rsidRPr="009E5C30" w:rsidTr="006C516E">
        <w:tc>
          <w:tcPr>
            <w:tcW w:w="720" w:type="dxa"/>
            <w:tcBorders>
              <w:top w:val="single" w:sz="4" w:space="0" w:color="auto"/>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1</w:t>
            </w:r>
          </w:p>
        </w:tc>
        <w:tc>
          <w:tcPr>
            <w:tcW w:w="7200" w:type="dxa"/>
            <w:tcBorders>
              <w:top w:val="single" w:sz="4" w:space="0" w:color="auto"/>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冯友兰：《三松堂全集》，郑州：河南人民出版社，</w:t>
            </w:r>
            <w:r w:rsidRPr="009E5C30">
              <w:rPr>
                <w:sz w:val="18"/>
                <w:szCs w:val="18"/>
              </w:rPr>
              <w:t>1985-</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2</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冯友兰：《中国哲学史新编》，北京：人民出版社，</w:t>
            </w:r>
            <w:r w:rsidRPr="009E5C30">
              <w:rPr>
                <w:sz w:val="18"/>
                <w:szCs w:val="18"/>
              </w:rPr>
              <w:t>1962-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3</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北京大学哲学系外国哲学史教研室编译：《西方哲学原著选读》，北京：商务印书馆，</w:t>
            </w:r>
            <w:r w:rsidRPr="009E5C30">
              <w:rPr>
                <w:sz w:val="18"/>
                <w:szCs w:val="18"/>
              </w:rPr>
              <w:t>1981-1982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鲁迅：《鲁迅全集》，北京：人民文学出版社，</w:t>
            </w:r>
            <w:r w:rsidRPr="009E5C30">
              <w:rPr>
                <w:sz w:val="18"/>
                <w:szCs w:val="18"/>
              </w:rPr>
              <w:t>1981</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5</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严复：《严复集》，北京：中华书局，</w:t>
            </w:r>
            <w:r w:rsidRPr="009E5C30">
              <w:rPr>
                <w:sz w:val="18"/>
                <w:szCs w:val="18"/>
              </w:rPr>
              <w:t>1986</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6</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冯友兰著，涂又光译</w:t>
            </w:r>
            <w:r w:rsidRPr="009E5C30">
              <w:rPr>
                <w:sz w:val="18"/>
                <w:szCs w:val="18"/>
              </w:rPr>
              <w:t> </w:t>
            </w:r>
            <w:r w:rsidRPr="009E5C30">
              <w:rPr>
                <w:rFonts w:hAnsi="宋体"/>
                <w:sz w:val="18"/>
                <w:szCs w:val="18"/>
              </w:rPr>
              <w:t>：《中国哲学简史》，北京：北京大学出版社，</w:t>
            </w:r>
            <w:r w:rsidRPr="009E5C30">
              <w:rPr>
                <w:sz w:val="18"/>
                <w:szCs w:val="18"/>
              </w:rPr>
              <w:t>1985</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rFonts w:hint="eastAsia"/>
                <w:sz w:val="18"/>
                <w:szCs w:val="18"/>
              </w:rPr>
              <w:t>7</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梁漱溟：《梁漱溟全集》，济南：山东人民出版社，</w:t>
            </w:r>
            <w:r w:rsidRPr="009E5C30">
              <w:rPr>
                <w:sz w:val="18"/>
                <w:szCs w:val="18"/>
              </w:rPr>
              <w:t>1989-1993</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rFonts w:hint="eastAsia"/>
                <w:sz w:val="18"/>
                <w:szCs w:val="18"/>
              </w:rPr>
              <w:t>8</w:t>
            </w:r>
          </w:p>
        </w:tc>
        <w:tc>
          <w:tcPr>
            <w:tcW w:w="7200" w:type="dxa"/>
            <w:tcBorders>
              <w:top w:val="nil"/>
              <w:bottom w:val="nil"/>
            </w:tcBorders>
          </w:tcPr>
          <w:p w:rsidR="00927944" w:rsidRPr="009E5C30" w:rsidRDefault="00927944" w:rsidP="006C516E">
            <w:pPr>
              <w:snapToGrid w:val="0"/>
              <w:spacing w:line="320" w:lineRule="atLeast"/>
              <w:rPr>
                <w:rFonts w:hAnsi="宋体"/>
                <w:sz w:val="18"/>
                <w:szCs w:val="18"/>
              </w:rPr>
            </w:pPr>
            <w:r w:rsidRPr="009E5C30">
              <w:rPr>
                <w:rFonts w:hAnsi="宋体"/>
                <w:sz w:val="18"/>
                <w:szCs w:val="18"/>
              </w:rPr>
              <w:t>梁启超：《饮冰室合集》，北京：中华书局，</w:t>
            </w:r>
            <w:r w:rsidRPr="009E5C30">
              <w:rPr>
                <w:sz w:val="18"/>
                <w:szCs w:val="18"/>
              </w:rPr>
              <w:t>1989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rFonts w:hint="eastAsia"/>
                <w:sz w:val="18"/>
                <w:szCs w:val="18"/>
              </w:rPr>
              <w:t>9</w:t>
            </w:r>
          </w:p>
        </w:tc>
        <w:tc>
          <w:tcPr>
            <w:tcW w:w="7200" w:type="dxa"/>
            <w:tcBorders>
              <w:top w:val="nil"/>
              <w:bottom w:val="nil"/>
            </w:tcBorders>
          </w:tcPr>
          <w:p w:rsidR="00927944" w:rsidRPr="009E5C30" w:rsidRDefault="00927944" w:rsidP="006C516E">
            <w:pPr>
              <w:snapToGrid w:val="0"/>
              <w:spacing w:line="320" w:lineRule="atLeast"/>
              <w:rPr>
                <w:rFonts w:hint="eastAsia"/>
                <w:sz w:val="18"/>
                <w:szCs w:val="18"/>
              </w:rPr>
            </w:pPr>
            <w:r w:rsidRPr="009E5C30">
              <w:rPr>
                <w:rFonts w:hAnsi="宋体"/>
                <w:sz w:val="18"/>
                <w:szCs w:val="18"/>
              </w:rPr>
              <w:t>汪子</w:t>
            </w:r>
            <w:proofErr w:type="gramStart"/>
            <w:r w:rsidRPr="009E5C30">
              <w:rPr>
                <w:rFonts w:hAnsi="宋体"/>
                <w:sz w:val="18"/>
                <w:szCs w:val="18"/>
              </w:rPr>
              <w:t>嵩</w:t>
            </w:r>
            <w:proofErr w:type="gramEnd"/>
            <w:r w:rsidRPr="009E5C30">
              <w:rPr>
                <w:rFonts w:hAnsi="宋体"/>
                <w:sz w:val="18"/>
                <w:szCs w:val="18"/>
              </w:rPr>
              <w:t>：《希腊哲学史》，北京：人民出版社，</w:t>
            </w:r>
            <w:r w:rsidRPr="009E5C30">
              <w:rPr>
                <w:sz w:val="18"/>
                <w:szCs w:val="18"/>
              </w:rPr>
              <w:t>19</w:t>
            </w:r>
            <w:r w:rsidRPr="009E5C30">
              <w:rPr>
                <w:rFonts w:hint="eastAsia"/>
                <w:sz w:val="18"/>
                <w:szCs w:val="18"/>
              </w:rPr>
              <w:t>88-2003</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10</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张岱年：《中国哲学大纲》，北京：中国社会科学出版社，</w:t>
            </w:r>
            <w:r w:rsidRPr="009E5C30">
              <w:rPr>
                <w:sz w:val="18"/>
                <w:szCs w:val="18"/>
              </w:rPr>
              <w:t>1982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11</w:t>
            </w:r>
          </w:p>
        </w:tc>
        <w:tc>
          <w:tcPr>
            <w:tcW w:w="7200" w:type="dxa"/>
            <w:tcBorders>
              <w:top w:val="nil"/>
              <w:bottom w:val="nil"/>
            </w:tcBorders>
          </w:tcPr>
          <w:p w:rsidR="00927944" w:rsidRPr="009E5C30" w:rsidRDefault="00927944" w:rsidP="006C516E">
            <w:pPr>
              <w:snapToGrid w:val="0"/>
              <w:spacing w:line="320" w:lineRule="atLeast"/>
              <w:rPr>
                <w:sz w:val="18"/>
                <w:szCs w:val="18"/>
              </w:rPr>
            </w:pPr>
            <w:proofErr w:type="gramStart"/>
            <w:r w:rsidRPr="009E5C30">
              <w:rPr>
                <w:rFonts w:hAnsi="宋体"/>
                <w:sz w:val="18"/>
                <w:szCs w:val="18"/>
              </w:rPr>
              <w:t>荆</w:t>
            </w:r>
            <w:proofErr w:type="gramEnd"/>
            <w:r w:rsidRPr="009E5C30">
              <w:rPr>
                <w:rFonts w:hAnsi="宋体"/>
                <w:sz w:val="18"/>
                <w:szCs w:val="18"/>
              </w:rPr>
              <w:t>门市博物馆：《郭店楚墓竹简》，北京：文物出版社，</w:t>
            </w:r>
            <w:r w:rsidRPr="009E5C30">
              <w:rPr>
                <w:sz w:val="18"/>
                <w:szCs w:val="18"/>
              </w:rPr>
              <w:t>1998</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12</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陈鼓应：《老子注译及评介》，北京：中华书局，</w:t>
            </w:r>
            <w:r w:rsidRPr="009E5C30">
              <w:rPr>
                <w:sz w:val="18"/>
                <w:szCs w:val="18"/>
              </w:rPr>
              <w:t>1984</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13</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侯外庐：《中国思想通史》，北京：人民出版社，</w:t>
            </w:r>
            <w:r w:rsidRPr="009E5C30">
              <w:rPr>
                <w:sz w:val="18"/>
                <w:szCs w:val="18"/>
              </w:rPr>
              <w:t>1956-1960</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14</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张一兵：《回到马克思：经济学语境中的哲学话语》，南京：江苏人民出版社，</w:t>
            </w:r>
            <w:r w:rsidRPr="009E5C30">
              <w:rPr>
                <w:sz w:val="18"/>
                <w:szCs w:val="18"/>
              </w:rPr>
              <w:t>1999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15</w:t>
            </w:r>
          </w:p>
        </w:tc>
        <w:tc>
          <w:tcPr>
            <w:tcW w:w="7200" w:type="dxa"/>
            <w:tcBorders>
              <w:top w:val="nil"/>
              <w:bottom w:val="nil"/>
            </w:tcBorders>
          </w:tcPr>
          <w:p w:rsidR="00927944" w:rsidRPr="009E5C30" w:rsidRDefault="00927944" w:rsidP="006C516E">
            <w:pPr>
              <w:snapToGrid w:val="0"/>
              <w:spacing w:line="320" w:lineRule="atLeast"/>
              <w:rPr>
                <w:sz w:val="18"/>
                <w:szCs w:val="18"/>
              </w:rPr>
            </w:pPr>
            <w:proofErr w:type="gramStart"/>
            <w:r w:rsidRPr="009E5C30">
              <w:rPr>
                <w:rFonts w:hAnsi="宋体"/>
                <w:sz w:val="18"/>
                <w:szCs w:val="18"/>
              </w:rPr>
              <w:t>周辅成</w:t>
            </w:r>
            <w:proofErr w:type="gramEnd"/>
            <w:r w:rsidRPr="009E5C30">
              <w:rPr>
                <w:rFonts w:hAnsi="宋体"/>
                <w:sz w:val="18"/>
                <w:szCs w:val="18"/>
              </w:rPr>
              <w:t>：《西方伦理学名著选辑》，北京：商务印书馆，</w:t>
            </w:r>
            <w:r w:rsidRPr="009E5C30">
              <w:rPr>
                <w:sz w:val="18"/>
                <w:szCs w:val="18"/>
              </w:rPr>
              <w:t>1987</w:t>
            </w:r>
          </w:p>
        </w:tc>
      </w:tr>
      <w:tr w:rsidR="00927944" w:rsidRPr="009E5C30" w:rsidTr="006C516E">
        <w:tc>
          <w:tcPr>
            <w:tcW w:w="720" w:type="dxa"/>
            <w:tcBorders>
              <w:top w:val="nil"/>
              <w:bottom w:val="single" w:sz="4" w:space="0" w:color="auto"/>
            </w:tcBorders>
            <w:vAlign w:val="center"/>
          </w:tcPr>
          <w:p w:rsidR="00927944" w:rsidRPr="009E5C30" w:rsidRDefault="00927944" w:rsidP="006C516E">
            <w:pPr>
              <w:snapToGrid w:val="0"/>
              <w:spacing w:line="320" w:lineRule="atLeast"/>
              <w:jc w:val="center"/>
              <w:rPr>
                <w:sz w:val="18"/>
                <w:szCs w:val="18"/>
              </w:rPr>
            </w:pPr>
            <w:r w:rsidRPr="009E5C30">
              <w:rPr>
                <w:sz w:val="18"/>
                <w:szCs w:val="18"/>
              </w:rPr>
              <w:t>1</w:t>
            </w:r>
            <w:r w:rsidRPr="009E5C30">
              <w:rPr>
                <w:rFonts w:hint="eastAsia"/>
                <w:sz w:val="18"/>
                <w:szCs w:val="18"/>
              </w:rPr>
              <w:t>6</w:t>
            </w:r>
          </w:p>
        </w:tc>
        <w:tc>
          <w:tcPr>
            <w:tcW w:w="7200" w:type="dxa"/>
            <w:tcBorders>
              <w:top w:val="nil"/>
              <w:bottom w:val="single" w:sz="4" w:space="0" w:color="auto"/>
            </w:tcBorders>
          </w:tcPr>
          <w:p w:rsidR="00927944" w:rsidRPr="009E5C30" w:rsidRDefault="00927944" w:rsidP="006C516E">
            <w:pPr>
              <w:snapToGrid w:val="0"/>
              <w:spacing w:line="320" w:lineRule="atLeast"/>
              <w:rPr>
                <w:sz w:val="18"/>
                <w:szCs w:val="18"/>
              </w:rPr>
            </w:pPr>
            <w:r w:rsidRPr="009E5C30">
              <w:rPr>
                <w:rFonts w:hAnsi="宋体"/>
                <w:sz w:val="18"/>
                <w:szCs w:val="18"/>
              </w:rPr>
              <w:t>冯友兰：《中国哲学史》，北京：中华书局，</w:t>
            </w:r>
            <w:r w:rsidRPr="009E5C30">
              <w:rPr>
                <w:sz w:val="18"/>
                <w:szCs w:val="18"/>
              </w:rPr>
              <w:t>1961</w:t>
            </w:r>
          </w:p>
        </w:tc>
      </w:tr>
      <w:tr w:rsidR="00927944" w:rsidRPr="009E5C30" w:rsidTr="006C516E">
        <w:tc>
          <w:tcPr>
            <w:tcW w:w="720" w:type="dxa"/>
            <w:tcBorders>
              <w:top w:val="single" w:sz="4" w:space="0" w:color="auto"/>
              <w:bottom w:val="nil"/>
            </w:tcBorders>
            <w:vAlign w:val="center"/>
          </w:tcPr>
          <w:p w:rsidR="00927944" w:rsidRPr="009E5C30" w:rsidRDefault="00927944" w:rsidP="006C516E">
            <w:pPr>
              <w:snapToGrid w:val="0"/>
              <w:spacing w:line="320" w:lineRule="atLeast"/>
              <w:jc w:val="center"/>
              <w:rPr>
                <w:sz w:val="18"/>
                <w:szCs w:val="18"/>
              </w:rPr>
            </w:pPr>
            <w:r w:rsidRPr="009E5C30">
              <w:rPr>
                <w:sz w:val="18"/>
                <w:szCs w:val="18"/>
              </w:rPr>
              <w:t>1</w:t>
            </w:r>
            <w:r w:rsidRPr="009E5C30">
              <w:rPr>
                <w:rFonts w:hint="eastAsia"/>
                <w:sz w:val="18"/>
                <w:szCs w:val="18"/>
              </w:rPr>
              <w:t>7</w:t>
            </w:r>
          </w:p>
        </w:tc>
        <w:tc>
          <w:tcPr>
            <w:tcW w:w="7200" w:type="dxa"/>
            <w:tcBorders>
              <w:top w:val="single" w:sz="4" w:space="0" w:color="auto"/>
              <w:bottom w:val="nil"/>
            </w:tcBorders>
          </w:tcPr>
          <w:p w:rsidR="00927944" w:rsidRPr="009E5C30" w:rsidRDefault="00927944" w:rsidP="006C516E">
            <w:pPr>
              <w:snapToGrid w:val="0"/>
              <w:spacing w:line="320" w:lineRule="atLeast"/>
              <w:rPr>
                <w:sz w:val="18"/>
                <w:szCs w:val="18"/>
              </w:rPr>
            </w:pPr>
            <w:r w:rsidRPr="009E5C30">
              <w:rPr>
                <w:rFonts w:hAnsi="宋体" w:hint="eastAsia"/>
                <w:sz w:val="18"/>
                <w:szCs w:val="18"/>
              </w:rPr>
              <w:t>王国维著，姚淦铭主编</w:t>
            </w:r>
            <w:r w:rsidRPr="009E5C30">
              <w:rPr>
                <w:rFonts w:hAnsi="宋体"/>
                <w:sz w:val="18"/>
                <w:szCs w:val="18"/>
              </w:rPr>
              <w:t>：《王国维文集》，北京：中国文史出版社，</w:t>
            </w:r>
            <w:r w:rsidRPr="009E5C30">
              <w:rPr>
                <w:sz w:val="18"/>
                <w:szCs w:val="18"/>
              </w:rPr>
              <w:t>1997</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18</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冯友兰：《贞元六书》，上海：华东师范大学出版社，</w:t>
            </w:r>
            <w:r w:rsidRPr="009E5C30">
              <w:rPr>
                <w:sz w:val="18"/>
                <w:szCs w:val="18"/>
              </w:rPr>
              <w:t>1996</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19</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陈昌曙：《技术哲学引论》，北京：科学出版社，</w:t>
            </w:r>
            <w:r w:rsidRPr="009E5C30">
              <w:rPr>
                <w:sz w:val="18"/>
                <w:szCs w:val="18"/>
              </w:rPr>
              <w:t>1999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2</w:t>
            </w:r>
            <w:r w:rsidRPr="009E5C30">
              <w:rPr>
                <w:rFonts w:hint="eastAsia"/>
                <w:sz w:val="18"/>
                <w:szCs w:val="18"/>
              </w:rPr>
              <w:t>0</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李泽厚：《中国古代思想史论》，北京：人民出版社，</w:t>
            </w:r>
            <w:r w:rsidRPr="009E5C30">
              <w:rPr>
                <w:sz w:val="18"/>
                <w:szCs w:val="18"/>
              </w:rPr>
              <w:t>1985</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2</w:t>
            </w:r>
            <w:r w:rsidRPr="009E5C30">
              <w:rPr>
                <w:rFonts w:hint="eastAsia"/>
                <w:sz w:val="18"/>
                <w:szCs w:val="18"/>
              </w:rPr>
              <w:t>1</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牟宗三：《心体与性体》，上海：上海古籍出版社，</w:t>
            </w:r>
            <w:r w:rsidRPr="009E5C30">
              <w:rPr>
                <w:sz w:val="18"/>
                <w:szCs w:val="18"/>
              </w:rPr>
              <w:t>1999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lastRenderedPageBreak/>
              <w:t>2</w:t>
            </w:r>
            <w:r w:rsidRPr="009E5C30">
              <w:rPr>
                <w:rFonts w:hint="eastAsia"/>
                <w:sz w:val="18"/>
                <w:szCs w:val="18"/>
              </w:rPr>
              <w:t>2</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李大钊：《李大钊文集》，北京：人民出版社，</w:t>
            </w:r>
            <w:r w:rsidRPr="009E5C30">
              <w:rPr>
                <w:sz w:val="18"/>
                <w:szCs w:val="18"/>
              </w:rPr>
              <w:t>1984</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2</w:t>
            </w:r>
            <w:r w:rsidRPr="009E5C30">
              <w:rPr>
                <w:rFonts w:hint="eastAsia"/>
                <w:sz w:val="18"/>
                <w:szCs w:val="18"/>
              </w:rPr>
              <w:t>3</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牟宗三：《中国哲学十九讲》，上海：上海古籍出版社，</w:t>
            </w:r>
            <w:r w:rsidRPr="009E5C30">
              <w:rPr>
                <w:sz w:val="18"/>
                <w:szCs w:val="18"/>
              </w:rPr>
              <w:t>1997</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2</w:t>
            </w:r>
            <w:r w:rsidRPr="009E5C30">
              <w:rPr>
                <w:rFonts w:hint="eastAsia"/>
                <w:sz w:val="18"/>
                <w:szCs w:val="18"/>
              </w:rPr>
              <w:t>4</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苗力田：《古希腊哲学》，北京：中国人民大学出版社，</w:t>
            </w:r>
            <w:r w:rsidRPr="009E5C30">
              <w:rPr>
                <w:sz w:val="18"/>
                <w:szCs w:val="18"/>
              </w:rPr>
              <w:t>1989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25</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倪梁康：《现象学及其效应：胡塞尔与当代德国哲学》，北京：生活</w:t>
            </w:r>
            <w:r w:rsidRPr="009E5C30">
              <w:rPr>
                <w:sz w:val="18"/>
                <w:szCs w:val="18"/>
              </w:rPr>
              <w:t>·</w:t>
            </w:r>
            <w:r w:rsidRPr="009E5C30">
              <w:rPr>
                <w:rFonts w:hAnsi="宋体"/>
                <w:sz w:val="18"/>
                <w:szCs w:val="18"/>
              </w:rPr>
              <w:t>读书</w:t>
            </w:r>
            <w:r w:rsidRPr="009E5C30">
              <w:rPr>
                <w:sz w:val="18"/>
                <w:szCs w:val="18"/>
              </w:rPr>
              <w:t>·</w:t>
            </w:r>
            <w:r w:rsidRPr="009E5C30">
              <w:rPr>
                <w:rFonts w:hAnsi="宋体"/>
                <w:sz w:val="18"/>
                <w:szCs w:val="18"/>
              </w:rPr>
              <w:t>新知三联书店，</w:t>
            </w:r>
            <w:r w:rsidRPr="009E5C30">
              <w:rPr>
                <w:sz w:val="18"/>
                <w:szCs w:val="18"/>
              </w:rPr>
              <w:t>1994</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26</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章太炎：《章太炎全集》，上海：上海人民出版社，</w:t>
            </w:r>
            <w:r w:rsidRPr="009E5C30">
              <w:rPr>
                <w:sz w:val="18"/>
                <w:szCs w:val="18"/>
              </w:rPr>
              <w:t>1982-1986</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27</w:t>
            </w:r>
          </w:p>
        </w:tc>
        <w:tc>
          <w:tcPr>
            <w:tcW w:w="7200" w:type="dxa"/>
            <w:tcBorders>
              <w:top w:val="nil"/>
              <w:bottom w:val="nil"/>
            </w:tcBorders>
          </w:tcPr>
          <w:p w:rsidR="00927944" w:rsidRPr="009E5C30" w:rsidRDefault="00927944" w:rsidP="006C516E">
            <w:pPr>
              <w:snapToGrid w:val="0"/>
              <w:spacing w:line="320" w:lineRule="atLeast"/>
              <w:rPr>
                <w:rFonts w:hAnsi="宋体"/>
                <w:sz w:val="18"/>
                <w:szCs w:val="18"/>
              </w:rPr>
            </w:pPr>
            <w:proofErr w:type="gramStart"/>
            <w:r w:rsidRPr="009E5C30">
              <w:rPr>
                <w:rFonts w:hAnsi="宋体"/>
                <w:sz w:val="18"/>
                <w:szCs w:val="18"/>
              </w:rPr>
              <w:t>皮锡瑞</w:t>
            </w:r>
            <w:proofErr w:type="gramEnd"/>
            <w:r w:rsidRPr="009E5C30">
              <w:rPr>
                <w:rFonts w:hAnsi="宋体"/>
                <w:sz w:val="18"/>
                <w:szCs w:val="18"/>
              </w:rPr>
              <w:t>：《经学历史》，北京：中华书局，</w:t>
            </w:r>
            <w:r w:rsidRPr="009E5C30">
              <w:rPr>
                <w:sz w:val="18"/>
                <w:szCs w:val="18"/>
              </w:rPr>
              <w:t>1954</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28</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倪梁康：《胡塞尔现象学概念通释》，北京：生活</w:t>
            </w:r>
            <w:r w:rsidRPr="009E5C30">
              <w:rPr>
                <w:sz w:val="18"/>
                <w:szCs w:val="18"/>
              </w:rPr>
              <w:t>·</w:t>
            </w:r>
            <w:r w:rsidRPr="009E5C30">
              <w:rPr>
                <w:rFonts w:hAnsi="宋体"/>
                <w:sz w:val="18"/>
                <w:szCs w:val="18"/>
              </w:rPr>
              <w:t>读书</w:t>
            </w:r>
            <w:r w:rsidRPr="009E5C30">
              <w:rPr>
                <w:sz w:val="18"/>
                <w:szCs w:val="18"/>
              </w:rPr>
              <w:t>·</w:t>
            </w:r>
            <w:r w:rsidRPr="009E5C30">
              <w:rPr>
                <w:rFonts w:hAnsi="宋体"/>
                <w:sz w:val="18"/>
                <w:szCs w:val="18"/>
              </w:rPr>
              <w:t>新知三联书店，</w:t>
            </w:r>
            <w:r w:rsidRPr="009E5C30">
              <w:rPr>
                <w:sz w:val="18"/>
                <w:szCs w:val="18"/>
              </w:rPr>
              <w:t>1999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29</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余英时：《士与中国文化》，上海：上海人民出版社，</w:t>
            </w:r>
            <w:r w:rsidRPr="009E5C30">
              <w:rPr>
                <w:sz w:val="18"/>
                <w:szCs w:val="18"/>
              </w:rPr>
              <w:t>1987</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3</w:t>
            </w:r>
            <w:r w:rsidRPr="009E5C30">
              <w:rPr>
                <w:rFonts w:hint="eastAsia"/>
                <w:sz w:val="18"/>
                <w:szCs w:val="18"/>
              </w:rPr>
              <w:t>0</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钱钟书：《管锥编》，北京：中华书局，</w:t>
            </w:r>
            <w:r w:rsidRPr="009E5C30">
              <w:rPr>
                <w:sz w:val="18"/>
                <w:szCs w:val="18"/>
              </w:rPr>
              <w:t>1979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3</w:t>
            </w:r>
            <w:r w:rsidRPr="009E5C30">
              <w:rPr>
                <w:rFonts w:hint="eastAsia"/>
                <w:sz w:val="18"/>
                <w:szCs w:val="18"/>
              </w:rPr>
              <w:t>1</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高亨：《周易大传今注》，济南：齐鲁书社，</w:t>
            </w:r>
            <w:r w:rsidRPr="009E5C30">
              <w:rPr>
                <w:sz w:val="18"/>
                <w:szCs w:val="18"/>
              </w:rPr>
              <w:t>1979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3</w:t>
            </w:r>
            <w:r w:rsidRPr="009E5C30">
              <w:rPr>
                <w:rFonts w:hint="eastAsia"/>
                <w:sz w:val="18"/>
                <w:szCs w:val="18"/>
              </w:rPr>
              <w:t>2</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顾颉刚：《古史辨》，上海：上海古籍出版社，</w:t>
            </w:r>
            <w:r w:rsidRPr="009E5C30">
              <w:rPr>
                <w:sz w:val="18"/>
                <w:szCs w:val="18"/>
              </w:rPr>
              <w:t>1982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3</w:t>
            </w:r>
            <w:r w:rsidRPr="009E5C30">
              <w:rPr>
                <w:rFonts w:hint="eastAsia"/>
                <w:sz w:val="18"/>
                <w:szCs w:val="18"/>
              </w:rPr>
              <w:t>3</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徐复观：《</w:t>
            </w:r>
            <w:r w:rsidRPr="009E5C30">
              <w:rPr>
                <w:rFonts w:hAnsi="宋体" w:hint="eastAsia"/>
                <w:sz w:val="18"/>
                <w:szCs w:val="18"/>
              </w:rPr>
              <w:t>中国人性论史·先秦篇</w:t>
            </w:r>
            <w:r w:rsidRPr="009E5C30">
              <w:rPr>
                <w:rFonts w:hAnsi="宋体"/>
                <w:sz w:val="18"/>
                <w:szCs w:val="18"/>
              </w:rPr>
              <w:t>》，上海：上海三联书店，</w:t>
            </w:r>
            <w:r w:rsidRPr="009E5C30">
              <w:rPr>
                <w:sz w:val="18"/>
                <w:szCs w:val="18"/>
              </w:rPr>
              <w:t>2001</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3</w:t>
            </w:r>
            <w:r w:rsidRPr="009E5C30">
              <w:rPr>
                <w:rFonts w:hint="eastAsia"/>
                <w:sz w:val="18"/>
                <w:szCs w:val="18"/>
              </w:rPr>
              <w:t>4</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朱光潜：《西方美学史》，北京：人民文学出版社，</w:t>
            </w:r>
            <w:r w:rsidRPr="009E5C30">
              <w:rPr>
                <w:sz w:val="18"/>
                <w:szCs w:val="18"/>
              </w:rPr>
              <w:t>1979</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3</w:t>
            </w:r>
            <w:r w:rsidRPr="009E5C30">
              <w:rPr>
                <w:rFonts w:hint="eastAsia"/>
                <w:sz w:val="18"/>
                <w:szCs w:val="18"/>
              </w:rPr>
              <w:t>5</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冯友兰：《中国哲学史》，上海：华东师范大学出版社，</w:t>
            </w:r>
            <w:r w:rsidRPr="009E5C30">
              <w:rPr>
                <w:sz w:val="18"/>
                <w:szCs w:val="18"/>
              </w:rPr>
              <w:t>2000</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36</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宗白华：《美学散步》，上海：上海人民出版社，</w:t>
            </w:r>
            <w:r w:rsidRPr="009E5C30">
              <w:rPr>
                <w:sz w:val="18"/>
                <w:szCs w:val="18"/>
              </w:rPr>
              <w:t>1981</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37</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李德顺：《价值论：一种主体性的研究》，北京：中国人民大学出版社，</w:t>
            </w:r>
            <w:r w:rsidRPr="009E5C30">
              <w:rPr>
                <w:sz w:val="18"/>
                <w:szCs w:val="18"/>
              </w:rPr>
              <w:t>1987</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38</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任继愈：《中国哲学史》，北京：人民出版社，</w:t>
            </w:r>
            <w:r w:rsidRPr="009E5C30">
              <w:rPr>
                <w:sz w:val="18"/>
                <w:szCs w:val="18"/>
              </w:rPr>
              <w:t>1963-1997</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39</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胡适：《胡适文集》，北京：北京大学出版社，</w:t>
            </w:r>
            <w:r w:rsidRPr="009E5C30">
              <w:rPr>
                <w:sz w:val="18"/>
                <w:szCs w:val="18"/>
              </w:rPr>
              <w:t>1998</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4</w:t>
            </w:r>
            <w:r w:rsidRPr="009E5C30">
              <w:rPr>
                <w:rFonts w:hint="eastAsia"/>
                <w:sz w:val="18"/>
                <w:szCs w:val="18"/>
              </w:rPr>
              <w:t>0</w:t>
            </w:r>
          </w:p>
        </w:tc>
        <w:tc>
          <w:tcPr>
            <w:tcW w:w="7200" w:type="dxa"/>
            <w:tcBorders>
              <w:top w:val="nil"/>
              <w:bottom w:val="nil"/>
            </w:tcBorders>
          </w:tcPr>
          <w:p w:rsidR="00927944" w:rsidRPr="009E5C30" w:rsidRDefault="00927944" w:rsidP="006C516E">
            <w:pPr>
              <w:snapToGrid w:val="0"/>
              <w:spacing w:line="320" w:lineRule="atLeast"/>
              <w:rPr>
                <w:sz w:val="18"/>
                <w:szCs w:val="18"/>
              </w:rPr>
            </w:pPr>
            <w:proofErr w:type="gramStart"/>
            <w:r w:rsidRPr="009E5C30">
              <w:rPr>
                <w:rFonts w:hAnsi="宋体"/>
                <w:sz w:val="18"/>
                <w:szCs w:val="18"/>
              </w:rPr>
              <w:t>洪汉鼎</w:t>
            </w:r>
            <w:proofErr w:type="gramEnd"/>
            <w:r w:rsidRPr="009E5C30">
              <w:rPr>
                <w:rFonts w:hAnsi="宋体"/>
                <w:sz w:val="18"/>
                <w:szCs w:val="18"/>
              </w:rPr>
              <w:t>：《理解与解释：诠释学经典文选》，北京：东方出版社，</w:t>
            </w:r>
            <w:r w:rsidRPr="009E5C30">
              <w:rPr>
                <w:sz w:val="18"/>
                <w:szCs w:val="18"/>
              </w:rPr>
              <w:t>2001</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sz w:val="18"/>
                <w:szCs w:val="18"/>
              </w:rPr>
              <w:t>4</w:t>
            </w:r>
            <w:r w:rsidRPr="009E5C30">
              <w:rPr>
                <w:rFonts w:hint="eastAsia"/>
                <w:sz w:val="18"/>
                <w:szCs w:val="18"/>
              </w:rPr>
              <w:t>1</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陈波：《逻辑哲学导论》，北京：中国人民大学出版社，</w:t>
            </w:r>
            <w:r w:rsidRPr="009E5C30">
              <w:rPr>
                <w:sz w:val="18"/>
                <w:szCs w:val="18"/>
              </w:rPr>
              <w:t>2000</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42</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李零：《郭店楚简校读记》，北京：北京大学出版社，</w:t>
            </w:r>
            <w:r w:rsidRPr="009E5C30">
              <w:rPr>
                <w:sz w:val="18"/>
                <w:szCs w:val="18"/>
              </w:rPr>
              <w:t>2002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43</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徐复观：《两汉思想史》，上海：华东师范大学出版社，</w:t>
            </w:r>
            <w:r w:rsidRPr="009E5C30">
              <w:rPr>
                <w:sz w:val="18"/>
                <w:szCs w:val="18"/>
              </w:rPr>
              <w:t>2001</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44</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倪梁康：《自识与反思：近现代西方哲学的基本问题》，北京：商务印书馆，</w:t>
            </w:r>
            <w:r w:rsidRPr="009E5C30">
              <w:rPr>
                <w:sz w:val="18"/>
                <w:szCs w:val="18"/>
              </w:rPr>
              <w:t>2002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45</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张</w:t>
            </w:r>
            <w:proofErr w:type="gramStart"/>
            <w:r w:rsidRPr="009E5C30">
              <w:rPr>
                <w:rFonts w:hAnsi="宋体"/>
                <w:sz w:val="18"/>
                <w:szCs w:val="18"/>
              </w:rPr>
              <w:t>世</w:t>
            </w:r>
            <w:proofErr w:type="gramEnd"/>
            <w:r w:rsidRPr="009E5C30">
              <w:rPr>
                <w:rFonts w:hAnsi="宋体"/>
                <w:sz w:val="18"/>
                <w:szCs w:val="18"/>
              </w:rPr>
              <w:t>英：《哲学导论》，北京：北京大学出版社，</w:t>
            </w:r>
            <w:r w:rsidRPr="009E5C30">
              <w:rPr>
                <w:sz w:val="18"/>
                <w:szCs w:val="18"/>
              </w:rPr>
              <w:t>2002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46</w:t>
            </w:r>
          </w:p>
        </w:tc>
        <w:tc>
          <w:tcPr>
            <w:tcW w:w="7200" w:type="dxa"/>
            <w:tcBorders>
              <w:top w:val="nil"/>
              <w:bottom w:val="nil"/>
            </w:tcBorders>
          </w:tcPr>
          <w:p w:rsidR="00927944" w:rsidRPr="009E5C30" w:rsidRDefault="00927944" w:rsidP="006C516E">
            <w:pPr>
              <w:snapToGrid w:val="0"/>
              <w:spacing w:line="320" w:lineRule="atLeast"/>
              <w:rPr>
                <w:sz w:val="18"/>
                <w:szCs w:val="18"/>
              </w:rPr>
            </w:pPr>
            <w:r w:rsidRPr="009E5C30">
              <w:rPr>
                <w:rFonts w:hAnsi="宋体"/>
                <w:sz w:val="18"/>
                <w:szCs w:val="18"/>
              </w:rPr>
              <w:t>李伯聪：《工程哲学引论：我造物故我在》，郑州：大象出版社，</w:t>
            </w:r>
            <w:r w:rsidRPr="009E5C30">
              <w:rPr>
                <w:sz w:val="18"/>
                <w:szCs w:val="18"/>
              </w:rPr>
              <w:t>2002</w:t>
            </w:r>
          </w:p>
        </w:tc>
      </w:tr>
      <w:tr w:rsidR="00927944" w:rsidRPr="009E5C30" w:rsidTr="006C516E">
        <w:tc>
          <w:tcPr>
            <w:tcW w:w="720" w:type="dxa"/>
            <w:tcBorders>
              <w:top w:val="nil"/>
              <w:bottom w:val="nil"/>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47</w:t>
            </w:r>
          </w:p>
        </w:tc>
        <w:tc>
          <w:tcPr>
            <w:tcW w:w="7200" w:type="dxa"/>
            <w:tcBorders>
              <w:top w:val="nil"/>
              <w:bottom w:val="nil"/>
            </w:tcBorders>
          </w:tcPr>
          <w:p w:rsidR="00927944" w:rsidRPr="009E5C30" w:rsidRDefault="00927944" w:rsidP="006C516E">
            <w:pPr>
              <w:snapToGrid w:val="0"/>
              <w:spacing w:line="320" w:lineRule="atLeast"/>
              <w:rPr>
                <w:sz w:val="18"/>
                <w:szCs w:val="18"/>
              </w:rPr>
            </w:pPr>
            <w:r>
              <w:rPr>
                <w:rFonts w:hAnsi="宋体" w:hint="eastAsia"/>
                <w:sz w:val="18"/>
                <w:szCs w:val="18"/>
              </w:rPr>
              <w:t>张建军：</w:t>
            </w:r>
            <w:r w:rsidRPr="009E5C30">
              <w:rPr>
                <w:rFonts w:hAnsi="宋体"/>
                <w:sz w:val="18"/>
                <w:szCs w:val="18"/>
              </w:rPr>
              <w:t>《逻辑悖论研究引论》，南京：南京大学出版社，</w:t>
            </w:r>
            <w:r w:rsidRPr="009E5C30">
              <w:rPr>
                <w:sz w:val="18"/>
                <w:szCs w:val="18"/>
              </w:rPr>
              <w:t>2002</w:t>
            </w:r>
          </w:p>
        </w:tc>
      </w:tr>
      <w:tr w:rsidR="00927944" w:rsidRPr="009E5C30" w:rsidTr="006C516E">
        <w:tc>
          <w:tcPr>
            <w:tcW w:w="720" w:type="dxa"/>
            <w:tcBorders>
              <w:top w:val="nil"/>
              <w:bottom w:val="single" w:sz="4" w:space="0" w:color="auto"/>
            </w:tcBorders>
            <w:vAlign w:val="center"/>
          </w:tcPr>
          <w:p w:rsidR="00927944" w:rsidRPr="009E5C30" w:rsidRDefault="00927944" w:rsidP="006C516E">
            <w:pPr>
              <w:snapToGrid w:val="0"/>
              <w:spacing w:line="320" w:lineRule="atLeast"/>
              <w:jc w:val="center"/>
              <w:rPr>
                <w:rFonts w:hint="eastAsia"/>
                <w:sz w:val="18"/>
                <w:szCs w:val="18"/>
              </w:rPr>
            </w:pPr>
            <w:r w:rsidRPr="009E5C30">
              <w:rPr>
                <w:rFonts w:hint="eastAsia"/>
                <w:sz w:val="18"/>
                <w:szCs w:val="18"/>
              </w:rPr>
              <w:t>48</w:t>
            </w:r>
          </w:p>
        </w:tc>
        <w:tc>
          <w:tcPr>
            <w:tcW w:w="7200" w:type="dxa"/>
            <w:tcBorders>
              <w:top w:val="nil"/>
              <w:bottom w:val="single" w:sz="4" w:space="0" w:color="auto"/>
            </w:tcBorders>
          </w:tcPr>
          <w:p w:rsidR="00927944" w:rsidRPr="009E5C30" w:rsidRDefault="00927944" w:rsidP="006C516E">
            <w:pPr>
              <w:snapToGrid w:val="0"/>
              <w:spacing w:line="320" w:lineRule="atLeast"/>
              <w:rPr>
                <w:sz w:val="18"/>
                <w:szCs w:val="18"/>
              </w:rPr>
            </w:pPr>
            <w:r w:rsidRPr="009E5C30">
              <w:rPr>
                <w:rFonts w:hAnsi="宋体"/>
                <w:sz w:val="18"/>
                <w:szCs w:val="18"/>
              </w:rPr>
              <w:t>陈嘉映：《语言哲学》，北京：北京大学出版社，</w:t>
            </w:r>
            <w:r w:rsidRPr="009E5C30">
              <w:rPr>
                <w:sz w:val="18"/>
                <w:szCs w:val="18"/>
              </w:rPr>
              <w:t>2003</w:t>
            </w:r>
          </w:p>
        </w:tc>
      </w:tr>
    </w:tbl>
    <w:p w:rsidR="00927944" w:rsidRDefault="00927944" w:rsidP="00927944">
      <w:pPr>
        <w:adjustRightInd w:val="0"/>
        <w:snapToGrid w:val="0"/>
        <w:spacing w:beforeLines="100" w:line="320" w:lineRule="atLeast"/>
        <w:ind w:firstLineChars="200" w:firstLine="420"/>
        <w:rPr>
          <w:rFonts w:hint="eastAsia"/>
        </w:rPr>
      </w:pPr>
      <w:r>
        <w:rPr>
          <w:rFonts w:hint="eastAsia"/>
        </w:rPr>
        <w:t>拙著能够位列该表第</w:t>
      </w:r>
      <w:r>
        <w:rPr>
          <w:rFonts w:hint="eastAsia"/>
        </w:rPr>
        <w:t>41</w:t>
      </w:r>
      <w:r>
        <w:rPr>
          <w:rFonts w:hint="eastAsia"/>
        </w:rPr>
        <w:t>位，这样的结果是我先前未曾预料到的。我只知道，该书出版后有一些影响力，在一些高校被用作逻辑研究生的教材，也被一些同仁在其著述中引用。但该书能够</w:t>
      </w:r>
      <w:proofErr w:type="gramStart"/>
      <w:r>
        <w:rPr>
          <w:rFonts w:hint="eastAsia"/>
        </w:rPr>
        <w:t>忝</w:t>
      </w:r>
      <w:proofErr w:type="gramEnd"/>
      <w:r>
        <w:rPr>
          <w:rFonts w:hint="eastAsia"/>
        </w:rPr>
        <w:t>列上表的位置，却是我先前不敢想的。对此结果，我当然感到高兴，先前的诚实劳动和认真研究没有白费，得到来自读者的某种程度的认可，这是任何一位作者都希求的事情。</w:t>
      </w:r>
    </w:p>
    <w:p w:rsidR="00927944" w:rsidRDefault="00927944" w:rsidP="00927944">
      <w:pPr>
        <w:adjustRightInd w:val="0"/>
        <w:snapToGrid w:val="0"/>
        <w:spacing w:line="320" w:lineRule="atLeast"/>
        <w:ind w:firstLine="435"/>
        <w:rPr>
          <w:rFonts w:hint="eastAsia"/>
        </w:rPr>
      </w:pPr>
      <w:r>
        <w:rPr>
          <w:rFonts w:hint="eastAsia"/>
        </w:rPr>
        <w:t>感谢中国人民大学出版社决定出版拙著的增订版。我恢复了第一版因为篇幅限制所删除的一些篇章，重新审读了该书的全部文稿，做了一些必要的修改，同时把近十年新发表的</w:t>
      </w:r>
      <w:r>
        <w:rPr>
          <w:rFonts w:hint="eastAsia"/>
        </w:rPr>
        <w:t>5</w:t>
      </w:r>
      <w:r>
        <w:rPr>
          <w:rFonts w:hint="eastAsia"/>
        </w:rPr>
        <w:t>篇论文作为本书附录，它们代表了我本人在逻辑哲学研究领域所取得的一些新进展。</w:t>
      </w:r>
    </w:p>
    <w:p w:rsidR="00927944" w:rsidRDefault="00927944" w:rsidP="00927944">
      <w:pPr>
        <w:adjustRightInd w:val="0"/>
        <w:snapToGrid w:val="0"/>
        <w:spacing w:line="320" w:lineRule="atLeast"/>
        <w:ind w:firstLine="435"/>
        <w:rPr>
          <w:rFonts w:hint="eastAsia"/>
        </w:rPr>
      </w:pPr>
      <w:r>
        <w:rPr>
          <w:rFonts w:hint="eastAsia"/>
        </w:rPr>
        <w:t>我仍然希望，读者们会接受和认可这本新出版的书，认为它是有价值的，是值得购买、阅读和引用的。若如此，我会感到释然。</w:t>
      </w:r>
    </w:p>
    <w:p w:rsidR="00927944" w:rsidRDefault="00927944" w:rsidP="00927944">
      <w:pPr>
        <w:adjustRightInd w:val="0"/>
        <w:snapToGrid w:val="0"/>
        <w:spacing w:line="320" w:lineRule="atLeast"/>
        <w:ind w:firstLine="435"/>
        <w:rPr>
          <w:rFonts w:hint="eastAsia"/>
        </w:rPr>
      </w:pPr>
    </w:p>
    <w:p w:rsidR="00927944" w:rsidRDefault="00927944" w:rsidP="00927944">
      <w:pPr>
        <w:adjustRightInd w:val="0"/>
        <w:snapToGrid w:val="0"/>
        <w:spacing w:line="320" w:lineRule="atLeast"/>
        <w:ind w:firstLine="435"/>
        <w:rPr>
          <w:rFonts w:hint="eastAsia"/>
        </w:rPr>
      </w:pPr>
    </w:p>
    <w:p w:rsidR="00927944" w:rsidRDefault="00927944" w:rsidP="00927944">
      <w:pPr>
        <w:adjustRightInd w:val="0"/>
        <w:snapToGrid w:val="0"/>
        <w:spacing w:line="320" w:lineRule="atLeast"/>
        <w:ind w:firstLineChars="3550" w:firstLine="7455"/>
        <w:rPr>
          <w:rFonts w:hint="eastAsia"/>
        </w:rPr>
      </w:pPr>
      <w:r>
        <w:rPr>
          <w:rFonts w:hint="eastAsia"/>
        </w:rPr>
        <w:t>陈</w:t>
      </w:r>
      <w:r>
        <w:rPr>
          <w:rFonts w:hint="eastAsia"/>
        </w:rPr>
        <w:t xml:space="preserve">  </w:t>
      </w:r>
      <w:r>
        <w:rPr>
          <w:rFonts w:hint="eastAsia"/>
        </w:rPr>
        <w:t>波</w:t>
      </w:r>
    </w:p>
    <w:p w:rsidR="00183DCA" w:rsidRDefault="00927944" w:rsidP="00927944">
      <w:pPr>
        <w:ind w:firstLineChars="2350" w:firstLine="4935"/>
      </w:pPr>
      <w:r>
        <w:rPr>
          <w:rFonts w:hint="eastAsia"/>
        </w:rPr>
        <w:t>2012</w:t>
      </w:r>
      <w:r>
        <w:rPr>
          <w:rFonts w:hint="eastAsia"/>
        </w:rPr>
        <w:t>年</w:t>
      </w:r>
      <w:r>
        <w:rPr>
          <w:rFonts w:hint="eastAsia"/>
        </w:rPr>
        <w:t>11</w:t>
      </w:r>
      <w:r>
        <w:rPr>
          <w:rFonts w:hint="eastAsia"/>
        </w:rPr>
        <w:t>月</w:t>
      </w:r>
      <w:r>
        <w:rPr>
          <w:rFonts w:hint="eastAsia"/>
        </w:rPr>
        <w:t>20</w:t>
      </w:r>
      <w:r>
        <w:rPr>
          <w:rFonts w:hint="eastAsia"/>
        </w:rPr>
        <w:t>日于京西</w:t>
      </w:r>
      <w:proofErr w:type="gramStart"/>
      <w:r>
        <w:rPr>
          <w:rFonts w:hint="eastAsia"/>
        </w:rPr>
        <w:t>博雅西</w:t>
      </w:r>
      <w:proofErr w:type="gramEnd"/>
      <w:r>
        <w:rPr>
          <w:rFonts w:hint="eastAsia"/>
        </w:rPr>
        <w:t>园</w:t>
      </w:r>
    </w:p>
    <w:sectPr w:rsidR="00183DCA" w:rsidSect="00183D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944"/>
    <w:rsid w:val="000A21DA"/>
    <w:rsid w:val="000C2026"/>
    <w:rsid w:val="00183DCA"/>
    <w:rsid w:val="0055564F"/>
    <w:rsid w:val="005735DC"/>
    <w:rsid w:val="00927944"/>
    <w:rsid w:val="009F12E3"/>
    <w:rsid w:val="00A63282"/>
    <w:rsid w:val="00C92EBC"/>
    <w:rsid w:val="00F5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44"/>
    <w:pPr>
      <w:widowControl w:val="0"/>
      <w:spacing w:after="0" w:line="240" w:lineRule="auto"/>
      <w:jc w:val="both"/>
    </w:pPr>
    <w:rPr>
      <w:rFonts w:ascii="Times New Roman" w:eastAsia="宋体" w:hAnsi="Times New Roman" w:cs="Times New Roman"/>
      <w:kern w:val="2"/>
      <w:sz w:val="21"/>
      <w:szCs w:val="20"/>
      <w:lang w:eastAsia="zh-CN" w:bidi="ar-SA"/>
    </w:rPr>
  </w:style>
  <w:style w:type="paragraph" w:styleId="1">
    <w:name w:val="heading 1"/>
    <w:basedOn w:val="a"/>
    <w:next w:val="a"/>
    <w:link w:val="1Char"/>
    <w:uiPriority w:val="9"/>
    <w:qFormat/>
    <w:rsid w:val="0055564F"/>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Char"/>
    <w:uiPriority w:val="9"/>
    <w:semiHidden/>
    <w:unhideWhenUsed/>
    <w:qFormat/>
    <w:rsid w:val="0055564F"/>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Char"/>
    <w:uiPriority w:val="9"/>
    <w:semiHidden/>
    <w:unhideWhenUsed/>
    <w:qFormat/>
    <w:rsid w:val="0055564F"/>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Char"/>
    <w:uiPriority w:val="9"/>
    <w:semiHidden/>
    <w:unhideWhenUsed/>
    <w:qFormat/>
    <w:rsid w:val="0055564F"/>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Char"/>
    <w:uiPriority w:val="9"/>
    <w:semiHidden/>
    <w:unhideWhenUsed/>
    <w:qFormat/>
    <w:rsid w:val="0055564F"/>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Char"/>
    <w:uiPriority w:val="9"/>
    <w:semiHidden/>
    <w:unhideWhenUsed/>
    <w:qFormat/>
    <w:rsid w:val="0055564F"/>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Char"/>
    <w:uiPriority w:val="9"/>
    <w:semiHidden/>
    <w:unhideWhenUsed/>
    <w:qFormat/>
    <w:rsid w:val="0055564F"/>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Char"/>
    <w:uiPriority w:val="9"/>
    <w:semiHidden/>
    <w:unhideWhenUsed/>
    <w:qFormat/>
    <w:rsid w:val="0055564F"/>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lang w:eastAsia="en-US" w:bidi="en-US"/>
    </w:rPr>
  </w:style>
  <w:style w:type="paragraph" w:styleId="9">
    <w:name w:val="heading 9"/>
    <w:basedOn w:val="a"/>
    <w:next w:val="a"/>
    <w:link w:val="9Char"/>
    <w:uiPriority w:val="9"/>
    <w:semiHidden/>
    <w:unhideWhenUsed/>
    <w:qFormat/>
    <w:rsid w:val="0055564F"/>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564F"/>
    <w:rPr>
      <w:rFonts w:asciiTheme="majorHAnsi" w:eastAsiaTheme="majorEastAsia" w:hAnsiTheme="majorHAnsi" w:cstheme="majorBidi"/>
      <w:b/>
      <w:bCs/>
      <w:color w:val="365F91" w:themeColor="accent1" w:themeShade="BF"/>
      <w:sz w:val="28"/>
      <w:szCs w:val="28"/>
    </w:rPr>
  </w:style>
  <w:style w:type="character" w:styleId="a3">
    <w:name w:val="Emphasis"/>
    <w:basedOn w:val="a0"/>
    <w:uiPriority w:val="20"/>
    <w:qFormat/>
    <w:rsid w:val="0055564F"/>
    <w:rPr>
      <w:i/>
      <w:iCs/>
    </w:rPr>
  </w:style>
  <w:style w:type="character" w:customStyle="1" w:styleId="2Char">
    <w:name w:val="标题 2 Char"/>
    <w:basedOn w:val="a0"/>
    <w:link w:val="2"/>
    <w:uiPriority w:val="9"/>
    <w:semiHidden/>
    <w:rsid w:val="0055564F"/>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55564F"/>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55564F"/>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55564F"/>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55564F"/>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55564F"/>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55564F"/>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55564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55564F"/>
    <w:pPr>
      <w:widowControl/>
      <w:spacing w:after="200"/>
      <w:jc w:val="left"/>
    </w:pPr>
    <w:rPr>
      <w:rFonts w:asciiTheme="minorHAnsi" w:eastAsiaTheme="minorEastAsia" w:hAnsiTheme="minorHAnsi" w:cstheme="minorBidi"/>
      <w:b/>
      <w:bCs/>
      <w:color w:val="4F81BD" w:themeColor="accent1"/>
      <w:kern w:val="0"/>
      <w:sz w:val="18"/>
      <w:szCs w:val="18"/>
      <w:lang w:eastAsia="en-US" w:bidi="en-US"/>
    </w:rPr>
  </w:style>
  <w:style w:type="paragraph" w:styleId="a5">
    <w:name w:val="Title"/>
    <w:basedOn w:val="a"/>
    <w:next w:val="a"/>
    <w:link w:val="Char"/>
    <w:uiPriority w:val="10"/>
    <w:qFormat/>
    <w:rsid w:val="0055564F"/>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Char">
    <w:name w:val="标题 Char"/>
    <w:basedOn w:val="a0"/>
    <w:link w:val="a5"/>
    <w:uiPriority w:val="10"/>
    <w:rsid w:val="0055564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55564F"/>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Char0">
    <w:name w:val="副标题 Char"/>
    <w:basedOn w:val="a0"/>
    <w:link w:val="a6"/>
    <w:uiPriority w:val="11"/>
    <w:rsid w:val="0055564F"/>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55564F"/>
    <w:rPr>
      <w:b/>
      <w:bCs/>
    </w:rPr>
  </w:style>
  <w:style w:type="paragraph" w:styleId="a8">
    <w:name w:val="No Spacing"/>
    <w:link w:val="Char1"/>
    <w:uiPriority w:val="1"/>
    <w:qFormat/>
    <w:rsid w:val="0055564F"/>
    <w:pPr>
      <w:spacing w:after="0" w:line="240" w:lineRule="auto"/>
    </w:pPr>
  </w:style>
  <w:style w:type="character" w:customStyle="1" w:styleId="Char1">
    <w:name w:val="无间隔 Char"/>
    <w:basedOn w:val="a0"/>
    <w:link w:val="a8"/>
    <w:uiPriority w:val="1"/>
    <w:rsid w:val="000C2026"/>
  </w:style>
  <w:style w:type="paragraph" w:styleId="a9">
    <w:name w:val="List Paragraph"/>
    <w:basedOn w:val="a"/>
    <w:uiPriority w:val="34"/>
    <w:qFormat/>
    <w:rsid w:val="0055564F"/>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a">
    <w:name w:val="Quote"/>
    <w:basedOn w:val="a"/>
    <w:next w:val="a"/>
    <w:link w:val="Char2"/>
    <w:uiPriority w:val="29"/>
    <w:qFormat/>
    <w:rsid w:val="0055564F"/>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Char2">
    <w:name w:val="引用 Char"/>
    <w:basedOn w:val="a0"/>
    <w:link w:val="aa"/>
    <w:uiPriority w:val="29"/>
    <w:rsid w:val="0055564F"/>
    <w:rPr>
      <w:i/>
      <w:iCs/>
      <w:color w:val="000000" w:themeColor="text1"/>
    </w:rPr>
  </w:style>
  <w:style w:type="paragraph" w:styleId="ab">
    <w:name w:val="Intense Quote"/>
    <w:basedOn w:val="a"/>
    <w:next w:val="a"/>
    <w:link w:val="Char3"/>
    <w:uiPriority w:val="30"/>
    <w:qFormat/>
    <w:rsid w:val="0055564F"/>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Char3">
    <w:name w:val="明显引用 Char"/>
    <w:basedOn w:val="a0"/>
    <w:link w:val="ab"/>
    <w:uiPriority w:val="30"/>
    <w:rsid w:val="0055564F"/>
    <w:rPr>
      <w:b/>
      <w:bCs/>
      <w:i/>
      <w:iCs/>
      <w:color w:val="4F81BD" w:themeColor="accent1"/>
    </w:rPr>
  </w:style>
  <w:style w:type="character" w:styleId="ac">
    <w:name w:val="Subtle Emphasis"/>
    <w:basedOn w:val="a0"/>
    <w:uiPriority w:val="19"/>
    <w:qFormat/>
    <w:rsid w:val="0055564F"/>
    <w:rPr>
      <w:i/>
      <w:iCs/>
      <w:color w:val="808080" w:themeColor="text1" w:themeTint="7F"/>
    </w:rPr>
  </w:style>
  <w:style w:type="character" w:styleId="ad">
    <w:name w:val="Intense Emphasis"/>
    <w:basedOn w:val="a0"/>
    <w:uiPriority w:val="21"/>
    <w:qFormat/>
    <w:rsid w:val="0055564F"/>
    <w:rPr>
      <w:b/>
      <w:bCs/>
      <w:i/>
      <w:iCs/>
      <w:color w:val="4F81BD" w:themeColor="accent1"/>
    </w:rPr>
  </w:style>
  <w:style w:type="character" w:styleId="ae">
    <w:name w:val="Subtle Reference"/>
    <w:basedOn w:val="a0"/>
    <w:uiPriority w:val="31"/>
    <w:qFormat/>
    <w:rsid w:val="0055564F"/>
    <w:rPr>
      <w:smallCaps/>
      <w:color w:val="C0504D" w:themeColor="accent2"/>
      <w:u w:val="single"/>
    </w:rPr>
  </w:style>
  <w:style w:type="character" w:styleId="af">
    <w:name w:val="Intense Reference"/>
    <w:basedOn w:val="a0"/>
    <w:uiPriority w:val="32"/>
    <w:qFormat/>
    <w:rsid w:val="0055564F"/>
    <w:rPr>
      <w:b/>
      <w:bCs/>
      <w:smallCaps/>
      <w:color w:val="C0504D" w:themeColor="accent2"/>
      <w:spacing w:val="5"/>
      <w:u w:val="single"/>
    </w:rPr>
  </w:style>
  <w:style w:type="character" w:styleId="af0">
    <w:name w:val="Book Title"/>
    <w:basedOn w:val="a0"/>
    <w:uiPriority w:val="33"/>
    <w:qFormat/>
    <w:rsid w:val="0055564F"/>
    <w:rPr>
      <w:b/>
      <w:bCs/>
      <w:smallCaps/>
      <w:spacing w:val="5"/>
    </w:rPr>
  </w:style>
  <w:style w:type="paragraph" w:styleId="TOC">
    <w:name w:val="TOC Heading"/>
    <w:basedOn w:val="1"/>
    <w:next w:val="a"/>
    <w:uiPriority w:val="39"/>
    <w:semiHidden/>
    <w:unhideWhenUsed/>
    <w:qFormat/>
    <w:rsid w:val="005556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2208</Characters>
  <Application>Microsoft Office Word</Application>
  <DocSecurity>0</DocSecurity>
  <Lines>18</Lines>
  <Paragraphs>5</Paragraphs>
  <ScaleCrop>false</ScaleCrop>
  <Company>Lenovo (Beijing) Limited</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chenbo</dc:creator>
  <cp:keywords/>
  <dc:description/>
  <cp:lastModifiedBy>chenbo</cp:lastModifiedBy>
  <cp:revision>1</cp:revision>
  <dcterms:created xsi:type="dcterms:W3CDTF">2013-12-24T16:26:00Z</dcterms:created>
  <dcterms:modified xsi:type="dcterms:W3CDTF">2013-12-24T16:30:00Z</dcterms:modified>
</cp:coreProperties>
</file>